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仿宋" w:hAnsi="仿宋" w:eastAsia="仿宋" w:cs="仿宋"/>
          <w:b/>
          <w:color w:val="4B4B4B"/>
          <w:sz w:val="28"/>
          <w:szCs w:val="28"/>
        </w:rPr>
      </w:pPr>
      <w:bookmarkStart w:id="0" w:name="_GoBack"/>
      <w:r>
        <w:rPr>
          <w:rFonts w:hint="eastAsia" w:ascii="仿宋" w:hAnsi="仿宋" w:eastAsia="仿宋" w:cs="仿宋"/>
          <w:b/>
          <w:i w:val="0"/>
          <w:caps w:val="0"/>
          <w:color w:val="4B4B4B"/>
          <w:spacing w:val="0"/>
          <w:sz w:val="28"/>
          <w:szCs w:val="28"/>
          <w:bdr w:val="none" w:color="auto" w:sz="0" w:space="0"/>
          <w:shd w:val="clear" w:fill="FFFFFF"/>
        </w:rPr>
        <w:t>教育部关于印发《高等学校课程思政建设指导纲要》的通知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仿宋" w:hAnsi="仿宋" w:eastAsia="仿宋" w:cs="仿宋"/>
          <w:color w:val="4B4B4B"/>
          <w:sz w:val="28"/>
          <w:szCs w:val="28"/>
        </w:rPr>
      </w:pPr>
      <w:r>
        <w:rPr>
          <w:rFonts w:hint="eastAsia" w:ascii="仿宋" w:hAnsi="仿宋" w:eastAsia="仿宋" w:cs="仿宋"/>
          <w:i w:val="0"/>
          <w:caps w:val="0"/>
          <w:color w:val="4B4B4B"/>
          <w:spacing w:val="0"/>
          <w:sz w:val="28"/>
          <w:szCs w:val="28"/>
          <w:bdr w:val="none" w:color="auto" w:sz="0" w:space="0"/>
          <w:shd w:val="clear" w:fill="FFFFFF"/>
        </w:rPr>
        <w:t>教高〔2020〕3号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《高等学校课程思政建设指导纲要》已经教育部党组会议审议通过，现印发给你们，请结合实际认真贯彻执行。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2020年5月28日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caps w:val="0"/>
          <w:color w:val="4B4B4B"/>
          <w:spacing w:val="0"/>
          <w:sz w:val="28"/>
          <w:szCs w:val="28"/>
        </w:rPr>
      </w:pPr>
      <w:r>
        <w:rPr>
          <w:rFonts w:hint="eastAsia" w:ascii="仿宋" w:hAnsi="仿宋" w:eastAsia="仿宋" w:cs="仿宋"/>
          <w:b/>
          <w:i w:val="0"/>
          <w:caps w:val="0"/>
          <w:color w:val="4B4B4B"/>
          <w:spacing w:val="0"/>
          <w:sz w:val="28"/>
          <w:szCs w:val="28"/>
          <w:bdr w:val="none" w:color="auto" w:sz="0" w:space="0"/>
          <w:shd w:val="clear" w:fill="FFFFFF"/>
        </w:rPr>
        <w:t>高等学校课程思政建设指导纲要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一、全面推进课程思政建设是落实立德树人根本任务的战略举措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二、课程思政建设是全面提高人才培养质量的重要任务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三、明确课程思政建设目标要求和内容重点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四、科学设计课程思政教学体系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五、结合专业特点分类推进课程思政建设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专业课程是课程思政建设的基本载体。要深入梳理专业课教学内容，结合不同课程特点、思维方法和价值理念，深入挖掘课程思政元素，有机融入课程教学，达到润物无声的育人效果。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高等职业学校要结合高职专业分类和课程设置情况，落实好分类推进相关要求。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六、将课程思政融入课堂教学建设全过程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七、提升教师课程思政建设的意识和能力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八、建立健全课程思政建设质量评价体系和激励机制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w:t>
      </w:r>
      <w:r>
        <w:rPr>
          <w:rFonts w:hint="eastAsia" w:ascii="仿宋" w:hAnsi="仿宋" w:eastAsia="仿宋" w:cs="仿宋"/>
          <w:b/>
          <w:i w:val="0"/>
          <w:caps w:val="0"/>
          <w:color w:val="4B4B4B"/>
          <w:spacing w:val="0"/>
          <w:sz w:val="28"/>
          <w:szCs w:val="28"/>
          <w:bdr w:val="none" w:color="auto" w:sz="0" w:space="0"/>
          <w:shd w:val="clear" w:fill="FFFFFF"/>
        </w:rPr>
        <w:t>九、加强课程思政建设组织实施和条件保障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仿宋" w:hAnsi="仿宋" w:eastAsia="仿宋" w:cs="仿宋"/>
          <w:i w:val="0"/>
          <w:caps w:val="0"/>
          <w:color w:val="4B4B4B"/>
          <w:spacing w:val="0"/>
          <w:sz w:val="28"/>
          <w:szCs w:val="28"/>
        </w:rPr>
      </w:pPr>
      <w:r>
        <w:rPr>
          <w:rFonts w:hint="eastAsia" w:ascii="仿宋" w:hAnsi="仿宋" w:eastAsia="仿宋" w:cs="仿宋"/>
          <w:i w:val="0"/>
          <w:caps w:val="0"/>
          <w:color w:val="4B4B4B"/>
          <w:spacing w:val="0"/>
          <w:sz w:val="28"/>
          <w:szCs w:val="28"/>
          <w:bdr w:val="none" w:color="auto" w:sz="0" w:space="0"/>
          <w:shd w:val="clear" w:fill="FFFFFF"/>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43A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2022-04-22T07:18:47Z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